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</w:t>
            </w:r>
            <w:r w:rsidR="00CE4773">
              <w:rPr>
                <w:sz w:val="24"/>
              </w:rPr>
              <w:t>6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3B29" w:rsidRPr="00A73B29" w:rsidRDefault="00A73B29" w:rsidP="00A73B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GoBack"/>
      <w:r w:rsidRPr="00A73B29">
        <w:rPr>
          <w:sz w:val="28"/>
          <w:szCs w:val="28"/>
        </w:rPr>
        <w:t xml:space="preserve">Прошу опубликовать </w:t>
      </w:r>
      <w:r w:rsidR="00874A24">
        <w:rPr>
          <w:sz w:val="28"/>
          <w:szCs w:val="28"/>
        </w:rPr>
        <w:t>на официальных сайтах в сети «Интернет»</w:t>
      </w:r>
      <w:r w:rsidRPr="00A73B29">
        <w:rPr>
          <w:sz w:val="28"/>
          <w:szCs w:val="28"/>
        </w:rPr>
        <w:t>:</w:t>
      </w:r>
    </w:p>
    <w:bookmarkEnd w:id="0"/>
    <w:p w:rsidR="00CE4773" w:rsidRPr="00CE4773" w:rsidRDefault="00CE4773" w:rsidP="00CE4773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>Прокурор разъясняет закон: вывоз ТКО необходимо оплачивать даже за пустующие квартиры (дома)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Собственник жилого дома или части жилого дома согласно части 5 статьи 30 Жилищного кодекса РФ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транспортирование, обезвреживание, захоронение твердых коммунальных отходов.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Федеральный закон от 24.06.19987 № 89-ФЗ «Об отходах производства и потребления» устанавливает, что региональные операторы заключают договоры на оказание услуг по обращению с ТКО с собственниками ТКО. Договор на оказание услуг по обращению с ТКО является публичным для регионального оператора.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Определяя порядок внесения платы за жилое помещение и коммунальные услуги, часть 11 статьи 155 ЖК РФ предусматривает, что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их нормативов потребления, осуществляется с учетом перерасчета  платежей за период временного отсутствия граждан в порядке и в случаях, которые утверждаются Правительством РФ.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>Предусматривая порядок перерасчета размера платы за отдельные виды коммунальных услуг за период временного отсутствия потребителей в занимаемом жилом помещении, Правила предоставления коммунальных услуг, утв. Постановлением Правительства РФ от 06.05.2011 г. № 354 в пункте 93 устанавливают открытый перечень документов, подтверждающих продолжительность периода временного отсутствия потребителя по месту постоянного жительства, которые прилагаются к заявлению о перерасчете.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Ввиду отсутствия возможности определения объема индивидуального потребления данного вида коммунальной услуги размер платы за </w:t>
      </w:r>
      <w:r w:rsidRPr="00CE4773">
        <w:rPr>
          <w:sz w:val="28"/>
          <w:szCs w:val="28"/>
        </w:rPr>
        <w:lastRenderedPageBreak/>
        <w:t xml:space="preserve">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помещении, а при отсутствии информации о таковых –с учетом количества собственников жилого помещения.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Таким образом, собственник жилого помещения обязан оплачивать услугу по обращению с ТКО, даже если в ней никто не живет. </w:t>
      </w:r>
    </w:p>
    <w:p w:rsidR="00CE4773" w:rsidRPr="00CE4773" w:rsidRDefault="00CE4773" w:rsidP="00CE4773">
      <w:pPr>
        <w:ind w:firstLine="709"/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Указанные правовые позиции Верховный суд РФ указал в своих решениях от 23 апреля 2021 г. по делу №АКПИ21-129, от 26.02.2020 г. по делу №АКПИ19-967. </w:t>
      </w:r>
    </w:p>
    <w:p w:rsidR="00CE4773" w:rsidRPr="00CE4773" w:rsidRDefault="00CE4773" w:rsidP="00CE4773">
      <w:pPr>
        <w:rPr>
          <w:sz w:val="22"/>
          <w:szCs w:val="22"/>
        </w:rPr>
      </w:pPr>
    </w:p>
    <w:p w:rsid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Помощник прокурора района 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C9" w:rsidRDefault="00576CC9">
      <w:r>
        <w:separator/>
      </w:r>
    </w:p>
  </w:endnote>
  <w:endnote w:type="continuationSeparator" w:id="1">
    <w:p w:rsidR="00576CC9" w:rsidRDefault="0057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C9" w:rsidRDefault="00576CC9">
      <w:r>
        <w:separator/>
      </w:r>
    </w:p>
  </w:footnote>
  <w:footnote w:type="continuationSeparator" w:id="1">
    <w:p w:rsidR="00576CC9" w:rsidRDefault="00576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523DE7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523DE7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4685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34685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0190C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3DE7"/>
    <w:rsid w:val="00526324"/>
    <w:rsid w:val="005349D4"/>
    <w:rsid w:val="00551934"/>
    <w:rsid w:val="00555B6B"/>
    <w:rsid w:val="00576CC9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A3EE-32A7-4ED1-A11E-98250A5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Козуль</cp:lastModifiedBy>
  <cp:revision>2</cp:revision>
  <cp:lastPrinted>2016-07-20T09:48:00Z</cp:lastPrinted>
  <dcterms:created xsi:type="dcterms:W3CDTF">2021-06-15T04:51:00Z</dcterms:created>
  <dcterms:modified xsi:type="dcterms:W3CDTF">2021-06-15T04:51:00Z</dcterms:modified>
</cp:coreProperties>
</file>